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71B81" w14:textId="77099205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ZÍSKÁNÍ PLNOMOCNÝCH ODPUSTKŮ V JUBILEJNÍM ROCE 2025</w:t>
      </w:r>
    </w:p>
    <w:p w14:paraId="6C4D70D8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1B853ED6" w14:textId="205379DF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Apoštolská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penitenciárie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zveřejnila dekret obsahující normy pro získání odpustků během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Svatého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roku 2025. S odvoláním na bulu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Spes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non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confundit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kterou papež František vyhlásil Milostivé léto, připomíná, že termín “odpustek” byl v minulosti synonymem “milosrdenství”, protože má vyjadřovat plnost Božího odpuštění, které nezná hranic" (23).</w:t>
      </w:r>
    </w:p>
    <w:p w14:paraId="61C84885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7BFF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fldChar w:fldCharType="begin"/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instrText>HYPERLINK "https://www.cirkev.cz/public/media/files/57/source/orig/56071_fotky-k-clankum-na-web-5.png"</w:instrTex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fldChar w:fldCharType="separate"/>
      </w:r>
    </w:p>
    <w:p w14:paraId="5F7EF622" w14:textId="7C544953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fldChar w:fldCharType="end"/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Odpustky jsou jubilejní milostí, čteme ve vatikánském dokumentu, který chce “povzbudit duše věřících, aby živily svou touhu získat odpustky jako dary milosti, vlastní a jedinečné v každém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Svatém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roce”.</w:t>
      </w:r>
    </w:p>
    <w:p w14:paraId="24B54F38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S odkazem na platná pravidla pro získání odpustků, mezi něž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patří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vyloučení náklonnosti ke hříchu, svátost smíření a modlitba na úmysl Svatého otce, Apoštolská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penitenciárie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ohlašuje, že bude možné čerpat plnomocné odpustky pro sebe nebo pro duše v očistci vykonáním některého z níže uvedených skutků.</w:t>
      </w:r>
    </w:p>
    <w:p w14:paraId="0AA2A372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5AACDB27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I. Na poutích</w:t>
      </w:r>
    </w:p>
    <w:p w14:paraId="34604FC5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Vykonáním pouti na některé z jubilejních svatých míst, kde se zúčastní mše svaté nebo bohoslužby slova; liturgie hodin, křížové cesty, anebo odrecitují hymnus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akathist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nebo se zúčastní kající bohoslužby, zakončené individuální zpovědí.</w:t>
      </w:r>
    </w:p>
    <w:p w14:paraId="6DE101EB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 Římě: při návštěvě alespoň jedné ze čtyř papežských hlavních bazilik: Svatého Petra ve Vatikánu, Nejsvětějšího Spasitele na Lateránu, Panny Marie Větší, Svatého Pavla za hradbami.</w:t>
      </w:r>
    </w:p>
    <w:p w14:paraId="6C138DE7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Ve Svaté zemi: při návštěvě alespoň do jedné ze tří bazilik: Hrobu Páně v Jeruzalémě, Narození Páně v Betlémě, Zvěstování Páně v Nazaretě.</w:t>
      </w:r>
    </w:p>
    <w:p w14:paraId="4537C8BC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 jiných oblastech: při pouti do katedrálního kostela nebo jiných kostelů a svatých míst určených ordinářem daného místa. Biskupové budou brát v úvahu potřeby věřících a možnost zachovat neporušený smysl pouti s celou její silnou symbolikou, schopnou ukázat naléhavost obrácení a smíření;</w:t>
      </w:r>
    </w:p>
    <w:p w14:paraId="693E050F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81CAAD8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II. ⁠⁠⁠⁠⁠Při návštěvách svatých míst</w:t>
      </w:r>
    </w:p>
    <w:p w14:paraId="4ED2CC14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Jubilejní odpustky budou moci věřící získat také tehdy, když jednotlivě nebo ve skupině navštíví některé z jubilejních míst a tam po přiměřeně dlouhou dobu budou slavit eucharistickou adoraci a rozjímat, zakončí ji modlitbou "Otče náš", vyznáním víry a modlitbou k Marii, Matce Boží, aby v tomto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Svatém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roce všichni 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lastRenderedPageBreak/>
        <w:t>"zakusili blízkost nejněžnější z matek, která nikdy neopouští své děti" (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Spes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non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confundit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24).</w:t>
      </w:r>
    </w:p>
    <w:p w14:paraId="07EBEA2B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U příležitosti Jubilejního roku bude možné kromě výše zmíněných symbolických poutních míst navštívit za stejných podmínek i další svatá místa:</w:t>
      </w:r>
    </w:p>
    <w:p w14:paraId="0083315E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V Římě baziliku Svatého kříže Jeruzalémského, baziliku svatého Vavřince za hradbami, baziliku svatého Šebestiána za hradbami (vřele se doporučuje tzv. "Pouť k sedmi kostelům", drahá sv. Filipovi Neri), svatyni Božího milosrdenství –⁠⁠⁠⁠⁠⁠ kostel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Santo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Spirito in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Sassia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, kostel sv. Pavla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alle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Tre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Fontane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(u Tří studánek) –⁠⁠⁠⁠⁠⁠ místo apoštolova umučení, křesťanské katakomby; návštěvy kostelů na jubilejní trase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Iter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Europaeum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, kostelů zasvěcených patronům Evropy a doktorům církve (bazilika Santa Maria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sopra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Minerva, kostel Sv. Brigity na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Piazza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Farnese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, kostel Panny Marie Vítězné, kostel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Trinità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dei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Monti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baziliku svaté Cecílie v 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Zátibeří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, bazilika svatého Augustina na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Martově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poli).</w:t>
      </w:r>
    </w:p>
    <w:p w14:paraId="44098A09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Na jiných místech při návštěvě papežské baziliky sv. Františka a P. Marie Andělské v Assisi, sv. Antonína v Padově; papežské baziliky P. Marie v Loretu a Panny Marie Růžencové v Pompejích, sv. Antonína v Padově, nebo jakékoli další baziliky, katedrály,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konkatedrály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či mariánské svatyně nebo jiného význačného kolegiátního kostela nebo svatyně určené diecézním nebo eparchiálním biskupem, jakož i národní nebo mezinárodní svatyně, jako "posvátná místa pohostinnosti a privilegované prostory pro probouzení naděje" (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Spes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non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confundit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24), určené biskupskými konferencemi.</w:t>
      </w:r>
    </w:p>
    <w:p w14:paraId="1B477B57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D015F86" w14:textId="3226F310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Věřící, kteří se z vážných důvodů nebudou moci zúčastnit slavnostních obřadů, poutí a zbožných návštěv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(zejména klášterní sestry a řeholníci, staří lidé, nemocní, vězni a ti, kteří v nemocnicích nebo na jiných místech soustavně slouží nemocným) získají jubilejní odpustky za stejných podmínek, pokud se duchovně spojí s přítomnými věřícími, zejména v době, kdy jsou slova Svatého otce nebo diecézních biskupů přenášena prostřednictvím sdělovacích prostředků, pomodlí se Otče náš, vyznání víry a další modlitby podle úmyslů Svatého roku a obětují svá utrpení nebo životní těžkosti.</w:t>
      </w:r>
    </w:p>
    <w:p w14:paraId="572AE255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78BA7E54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III. Ve skutcích lásky a pokání</w:t>
      </w:r>
    </w:p>
    <w:p w14:paraId="258D56E0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Kromě toho budou moci věřící získat jubilejní odpustky, pokud se v duchu zbožnosti zúčastní lidových misií,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rekolekcí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nebo formačních setkání nad texty II. vatikánského koncilu a Katechismu katolické církve, které se konají v kostele nebo na jiném vhodném místě podle záměru Svatého otce.</w:t>
      </w:r>
    </w:p>
    <w:p w14:paraId="07CF0238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A4A9AAE" w14:textId="7C273952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 xml:space="preserve">Navzdory pravidlu, že denně lze udělit pouze jeden plnomocný odpustek (srov. </w:t>
      </w:r>
      <w:proofErr w:type="spellStart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Enchiridion</w:t>
      </w:r>
      <w:proofErr w:type="spellEnd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indulgentiarum</w:t>
      </w:r>
      <w:proofErr w:type="spellEnd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, 4. vyd., </w:t>
      </w:r>
      <w:proofErr w:type="spellStart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norm</w:t>
      </w:r>
      <w:proofErr w:type="spellEnd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. 18, § 1), věřící obdrží skutek milosrdenství ve prospěch duší v očistci, pokud v tentýž den podruhé legitimně přistoupí ke svátosti přijímání, budou moci získat plnomocné odpustky dvakrát v tentýž den, platné ovšem pouze pro zemřelé 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(tj. v rámci eucharistické slavnosti; srov. kan. 917 a Papežská komise pro autentický výklad Kodexu kanonického práva,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Responsa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ad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dubia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1, 11. července 1984).</w:t>
      </w:r>
    </w:p>
    <w:p w14:paraId="5B1CCDBD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Prostřednictvím této dvojí oběti dochází k chvályhodnému projevu nadpřirozené lásky jako pouta, které spojuje věřící, kteří jsou ještě na pozemské pouti, s mystickým Tělem Kristovým spolu s těmi, kteří již svou pouť dokončili, a to díky tomu, že "jubilejní odpustek je na základě modlitby určen zvláštním způsobem těm, kteří nás předešli, aby se jim dostalo plnosti milosti" (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Spes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non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confundit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22).</w:t>
      </w:r>
    </w:p>
    <w:p w14:paraId="04F7D159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009C3BCA" w14:textId="029A63A2" w:rsidR="00EB0A64" w:rsidRPr="00EB0A64" w:rsidRDefault="009740DE" w:rsidP="00EB0A6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Získání odpustků lze získat i v v každodenním žití křesťanské víry</w:t>
      </w:r>
    </w:p>
    <w:p w14:paraId="7B0DC544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Odpustky se dále vztahují i na skutky lásky a pokání, které </w:t>
      </w:r>
      <w:proofErr w:type="gramStart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svědčí</w:t>
      </w:r>
      <w:proofErr w:type="gramEnd"/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o vnitřním obrácení.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Patří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mezi ně "skutky milosrdenství vůči tělu: nasyť hladové, dej vodu žíznivým, obleč nahé, přijmi cizince do svého domu, navštiv nemocné, potěš vězně, pohřbi mrtvé". (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Misericordiae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vultus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, 15) a dále "skutky milosrdenství vůči duchu: dobře poraď pochybujícím, poučuj nevědomé, napomínej hříšníky, utěšuj ztrápené, ochotně odpouštěj křivdy, trpělivě snášej zkroušené, modli se za živé i mrtvé" (tamtéž).</w:t>
      </w:r>
    </w:p>
    <w:p w14:paraId="5A55BA56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Stejně tak budou moci věřící získat jubilejní odpustky, pokud navštíví a věnují patřičný čas bratřím v nouzi nebo v nesnázích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(nemocným, vězňům, osamělým starým lidem, postiženým...), vykonají tak pouť za Kristem v nich přítomným (srov.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Mt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25,34-36) a splní obvyklé duchovní, svátostné a modlitební podmínky. Věřící budou nepochybně moci tyto návštěvy během </w:t>
      </w:r>
      <w:proofErr w:type="gram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Svatého</w:t>
      </w:r>
      <w:proofErr w:type="gram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roku opakovat a získat plnomocné odpustky pokaždé, dokonce každý den.</w:t>
      </w:r>
    </w:p>
    <w:p w14:paraId="25DA602B" w14:textId="77777777" w:rsid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Jubilejní plnomocné odpustky lze získat také prostřednictvím skutků, které konkrétním a nezištným způsobem vyjadřují ducha pokání, který je duší jubilea, a znovuobjevují zejména kající hodnotu pátku: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V duchu pokání se alespoň na jeden den zdrží lehkovážných zábav (reálných, ale i virtuálních) a zbytečného konzumu (například praktikováním postu nebo abstinence v souladu s obecnými normami církve a konkrétními doporučeními biskupů) v kombinaci s darováním přiměřené finanční částky chudým; podporou děl náboženské nebo sociální povahy, zejména na obranu a ochranu života ve všech jeho fázích a kvality života samotného, opuštěných dětí, mladých lidí potýkajících </w:t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lastRenderedPageBreak/>
        <w:t>se s těžkostmi, starých lidí, kteří potřebují péči nebo jsou osamělí, migrantů z různých zemí; věnují významnou část svého volného času dobrovolné práci, která slouží zájmům společenství, nebo jiné podobné formě osobní angažovanosti.</w:t>
      </w:r>
    </w:p>
    <w:p w14:paraId="41F55E1A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</w:p>
    <w:p w14:paraId="45A80CD0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Všichni diecézní nebo eparchiální biskupové a jim právně na roveň postavené osoby budou moci v nejvhodnější den tohoto jubilejního období, při příležitosti hlavních oslav v katedrále a v jednotlivých jubilejních kostelech, udělit papežské požehnání s připojením plnomocných odpustků, které mohou být za obvyklých podmínek uděleny všem věřícím, kteří toto požehnání přijmou.</w:t>
      </w:r>
    </w:p>
    <w:p w14:paraId="5B00746F" w14:textId="66B93765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Penitenciář vybízí všechny kněze, aby s velkorysou disponibilitou a obětavostí poskytovali věřícím co nejširší možnost získat prostředky spásy; aby po dohodě s faráři nebo rektory sousedních kostelů stanovili a zveřejnili časy zpovědi; aby byli ve zpovědnici; aby plánovali pravidelné a časté kající slavnosti a zároveň zajistili co nejširší dostupnost kněží, kteří po dosažení požadovaného věku nevykonávají určité pastorační funkce. V závislosti na možnostech pamatujme </w:t>
      </w:r>
      <w:r w:rsidR="008161AD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v souladu s Motu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proprio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Misericordia Dei také na pastorační možnost zpovídat se také při slavení mše svaté.</w:t>
      </w:r>
    </w:p>
    <w:p w14:paraId="3B7F9D3E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Aby se zpovědníkům usnadnila jejich úloha, Apoštolská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penitenciárie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z pověření Svatého otce stanoví, že kněží, kteří doprovázejí jubilejní poutě mimo svou diecézi nebo se k nim připojují, mohou ve své diecézi vykonávat stejné pravomoci, které jim byly svěřeny legitimním orgánem. Zvláštní pravomoci pak tato apoštolská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penitenciárie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udělí penitenciářům římských papežských bazilik, kanovnickým penitenciářům nebo diecézním penitenciářům zřízeným v jednotlivých církevních obvodech.</w:t>
      </w:r>
    </w:p>
    <w:p w14:paraId="29C021FA" w14:textId="77777777" w:rsidR="00EB0A64" w:rsidRPr="00EB0A64" w:rsidRDefault="00EB0A64" w:rsidP="00EB0A64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Nakonec </w:t>
      </w:r>
      <w:proofErr w:type="spellStart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Penitenciárie</w:t>
      </w:r>
      <w:proofErr w:type="spellEnd"/>
      <w:r w:rsidRPr="00EB0A6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vřele vybízí biskupy, aby jako nositelé trojího pověření: učit, řídit a posvěcovat dbali na jasné vysvětlování zde navržených pravidel a zásad pro posvěcování věřících se zvláštním zřetelem k místním podmínkám, kultuře a tradicím. Katecheze přizpůsobená sociokulturním zvláštnostem každého národa napomůže hlásání evangelia a předávání celku křesťanského poselství a přispěje k hlubšímu zakořenění touhy po tomto jedinečném daru, který lze získat prostřednictvím církve.</w:t>
      </w:r>
    </w:p>
    <w:p w14:paraId="578124ED" w14:textId="77777777" w:rsidR="00EB0A64" w:rsidRDefault="00EB0A64"/>
    <w:sectPr w:rsidR="00EB0A64" w:rsidSect="008161AD">
      <w:pgSz w:w="11906" w:h="16838"/>
      <w:pgMar w:top="1417" w:right="1417" w:bottom="1417" w:left="1417" w:header="708" w:footer="708" w:gutter="0"/>
      <w:pgBorders w:offsetFrom="page">
        <w:top w:val="thinThickSmallGap" w:sz="12" w:space="24" w:color="C937B8"/>
        <w:left w:val="thinThickSmallGap" w:sz="12" w:space="24" w:color="C937B8"/>
        <w:bottom w:val="thickThinSmallGap" w:sz="12" w:space="24" w:color="C937B8"/>
        <w:right w:val="thickThinSmallGap" w:sz="12" w:space="24" w:color="C937B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64"/>
    <w:rsid w:val="001B7DB8"/>
    <w:rsid w:val="00563E4A"/>
    <w:rsid w:val="008161AD"/>
    <w:rsid w:val="009740DE"/>
    <w:rsid w:val="00C70785"/>
    <w:rsid w:val="00EA2C0C"/>
    <w:rsid w:val="00E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D406"/>
  <w15:chartTrackingRefBased/>
  <w15:docId w15:val="{EA2CD80F-7222-4BCB-BEA2-1D335555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B0A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A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A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A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A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A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A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A64"/>
    <w:rPr>
      <w:b/>
      <w:bCs/>
      <w:smallCaps/>
      <w:color w:val="0F4761" w:themeColor="accent1" w:themeShade="BF"/>
      <w:spacing w:val="5"/>
    </w:rPr>
  </w:style>
  <w:style w:type="paragraph" w:customStyle="1" w:styleId="article-detail-contentperex">
    <w:name w:val="article-detail-content__perex"/>
    <w:basedOn w:val="Normln"/>
    <w:rsid w:val="00EB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EB0A6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Hojková Iva</dc:creator>
  <cp:keywords/>
  <dc:description/>
  <cp:lastModifiedBy>Hojková Iva</cp:lastModifiedBy>
  <cp:revision>5</cp:revision>
  <dcterms:created xsi:type="dcterms:W3CDTF">2024-05-24T05:19:00Z</dcterms:created>
  <dcterms:modified xsi:type="dcterms:W3CDTF">2024-05-24T05:41:00Z</dcterms:modified>
</cp:coreProperties>
</file>